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jc w:val="center"/>
        <w:textAlignment w:val="top"/>
      </w:pPr>
      <w:r>
        <w:rPr/>
        <w:drawing>
          <wp:inline distT="0" distB="0" distL="0" distR="0">
            <wp:extent cx="4319905" cy="3239770"/>
            <wp:effectExtent l="0" t="0" r="0" b="0"/>
            <wp:docPr id="1" name="542adcd9129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First series</c:v>
                </c:pt>
              </c:strCache>
            </c:strRef>
          </c:tx>
          <c:spPr>
            <a:solidFill>
              <a:srgbClr val="b70000"/>
            </a:solidFill>
            <a:ln w="25560">
              <a:solidFill>
                <a:srgbClr val="660000"/>
              </a:solidFill>
              <a:round/>
            </a:ln>
          </c:spPr>
          <c:dLbls>
            <c:dLblPos val="outEnd"/>
            <c:showLegendKey val="0"/>
            <c:showVal val="0"/>
            <c:showCatName val="0"/>
            <c:showSerName val="0"/>
            <c:showPercent val="0"/>
          </c:dLbls>
          <c:cat>
            <c:strRef>
              <c:f>categories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Second series</c:v>
                </c:pt>
              </c:strCache>
            </c:strRef>
          </c:tx>
          <c:spPr>
            <a:solidFill>
              <a:srgbClr val="0000b7"/>
            </a:solidFill>
            <a:ln w="25560">
              <a:solidFill>
                <a:srgbClr val="000066"/>
              </a:solidFill>
              <a:round/>
            </a:ln>
          </c:spPr>
          <c:dLbls>
            <c:dLblPos val="outEnd"/>
            <c:showLegendKey val="0"/>
            <c:showVal val="0"/>
            <c:showCatName val="0"/>
            <c:showSerName val="0"/>
            <c:showPercent val="0"/>
          </c:dLbls>
          <c:cat>
            <c:strRef>
              <c:f>categories</c:f>
              <c:strCache>
                <c:ptCount val="3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40</c:v>
                </c:pt>
                <c:pt idx="1">
                  <c:v>10</c:v>
                </c:pt>
                <c:pt idx="2">
                  <c:v>54</c:v>
                </c:pt>
              </c:numCache>
            </c:numRef>
          </c:val>
        </c:ser>
        <c:gapWidth val="100"/>
        <c:overlap val="0"/>
        <c:axId val="19731"/>
        <c:axId val="3777"/>
      </c:barChart>
      <c:catAx>
        <c:axId val="19731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ln>
            <a:solidFill>
              <a:srgbClr val="000000"/>
            </a:solidFill>
          </a:ln>
        </c:spPr>
        <c:crossAx val="3777"/>
        <c:crossesAt val="0"/>
        <c:auto val="1"/>
        <c:lblAlgn val="ctr"/>
        <c:lblOffset val="100"/>
      </c:catAx>
      <c:valAx>
        <c:axId val="3777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majorTickMark val="none"/>
        <c:minorTickMark val="none"/>
        <c:tickLblPos val="low"/>
        <c:spPr>
          <a:ln>
            <a:solidFill>
              <a:srgbClr val="000000"/>
            </a:solidFill>
          </a:ln>
        </c:spPr>
        <c:crossAx val="19731"/>
        <c:crosses val="min"/>
      </c:valAx>
      <c:spPr>
        <a:noFill/>
        <a:ln>
          <a:noFill/>
        </a:ln>
      </c:spPr>
    </c:plotArea>
    <c:plotVisOnly val="1"/>
  </c:chart>
  <c:spPr>
    <a:noFill/>
    <a:ln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Application>LibreOffice/4.3.1.2$Windows_x86 LibreOffice_project/958349dc3b25111dbca392fbc281a05559ef6848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2014-05-05T10:12:00Z</dcterms:created>
  <dc:creator>HTML52PDF</dc:creator>
  <dc:language>es-ES</dc:language>
  <dcterms:modified xsi:type="dcterms:W3CDTF">2014-09-30T18:41:15Z</dcterms:modified>
  <cp:revision>1</cp:revision>
</cp:coreProperties>
</file>